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"/>
        <w:gridCol w:w="2321"/>
        <w:gridCol w:w="7024"/>
      </w:tblGrid>
      <w:tr w:rsidR="003C4A10" w:rsidRPr="003C4A10" w:rsidTr="003C4A10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4A10" w:rsidRDefault="003C4A10" w:rsidP="003C4A10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eastAsia="en-US"/>
              </w:rPr>
            </w:pPr>
            <w:bookmarkStart w:id="0" w:name="_GoBack"/>
            <w:r w:rsidRPr="003C4A10"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eastAsia="en-US"/>
              </w:rPr>
              <w:t>POSTUPAK UPRAVLJANJA DOKUMENTIMA SOUK-A</w:t>
            </w:r>
          </w:p>
          <w:bookmarkEnd w:id="0"/>
          <w:p w:rsidR="003C4A10" w:rsidRPr="003C4A10" w:rsidRDefault="003C4A10" w:rsidP="003C4A10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</w:p>
        </w:tc>
      </w:tr>
      <w:tr w:rsidR="003C4A10" w:rsidRPr="0034398A" w:rsidTr="003C4A1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hRule="exact" w:val="288"/>
          <w:jc w:val="center"/>
        </w:trPr>
        <w:tc>
          <w:tcPr>
            <w:tcW w:w="49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C4A10" w:rsidRPr="0034398A" w:rsidRDefault="003C4A10" w:rsidP="00BD7610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Pr="0034398A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>natra</w:t>
              </w:r>
              <w:r w:rsidRPr="0034398A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>g</w:t>
              </w:r>
              <w:r w:rsidRPr="0034398A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 xml:space="preserve"> u Priručnik</w:t>
              </w:r>
            </w:hyperlink>
          </w:p>
        </w:tc>
      </w:tr>
      <w:tr w:rsidR="003C4A10" w:rsidRPr="0034398A" w:rsidTr="003C4A1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C4A10" w:rsidRPr="0034398A" w:rsidRDefault="003C4A10" w:rsidP="00BD7610">
            <w:pPr>
              <w:pStyle w:val="BodyText"/>
              <w:rPr>
                <w:caps/>
                <w:sz w:val="20"/>
                <w:szCs w:val="20"/>
              </w:rPr>
            </w:pPr>
            <w:r w:rsidRPr="0034398A">
              <w:rPr>
                <w:rStyle w:val="FontStyle110"/>
                <w:caps/>
              </w:rPr>
              <w:t>Cilj POSTUPKA</w:t>
            </w:r>
          </w:p>
        </w:tc>
        <w:tc>
          <w:tcPr>
            <w:tcW w:w="3755" w:type="pct"/>
            <w:tcBorders>
              <w:top w:val="single" w:sz="6" w:space="0" w:color="auto"/>
            </w:tcBorders>
            <w:vAlign w:val="bottom"/>
          </w:tcPr>
          <w:p w:rsidR="003C4A10" w:rsidRPr="0034398A" w:rsidRDefault="003C4A10" w:rsidP="00BD7610">
            <w:pPr>
              <w:pStyle w:val="Style90"/>
              <w:spacing w:line="360" w:lineRule="auto"/>
              <w:jc w:val="left"/>
              <w:rPr>
                <w:rStyle w:val="FontStyle111"/>
                <w:rFonts w:ascii="Times New Roman" w:hAnsi="Times New Roman"/>
              </w:rPr>
            </w:pPr>
            <w:r w:rsidRPr="0034398A">
              <w:rPr>
                <w:rFonts w:ascii="Times New Roman" w:hAnsi="Times New Roman"/>
                <w:sz w:val="20"/>
                <w:szCs w:val="20"/>
              </w:rPr>
              <w:t>Ovim se postupkom uređuje postupak donošenja, izdavanja, evidentiranja, izmjene i distribucije dokumenata SOUK-a na Sveučilištu.</w:t>
            </w:r>
          </w:p>
        </w:tc>
      </w:tr>
      <w:tr w:rsidR="003C4A10" w:rsidRPr="0034398A" w:rsidTr="003C4A1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C4A10" w:rsidRPr="0034398A" w:rsidRDefault="003C4A10" w:rsidP="00BD7610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4398A">
              <w:rPr>
                <w:rFonts w:ascii="Times New Roman" w:hAnsi="Times New Roman"/>
                <w:b/>
                <w:caps/>
                <w:sz w:val="20"/>
                <w:szCs w:val="20"/>
              </w:rPr>
              <w:t>Opis provedbe postupka</w:t>
            </w:r>
          </w:p>
          <w:p w:rsidR="003C4A10" w:rsidRPr="0034398A" w:rsidRDefault="003C4A10" w:rsidP="00BD7610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755" w:type="pct"/>
          </w:tcPr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4398A">
              <w:rPr>
                <w:b/>
                <w:sz w:val="20"/>
                <w:szCs w:val="20"/>
              </w:rPr>
              <w:t>Oblik i sadržaj doku</w:t>
            </w:r>
            <w:r w:rsidRPr="0034398A">
              <w:rPr>
                <w:b/>
                <w:sz w:val="20"/>
                <w:szCs w:val="20"/>
              </w:rPr>
              <w:t>m</w:t>
            </w:r>
            <w:r w:rsidRPr="0034398A">
              <w:rPr>
                <w:b/>
                <w:sz w:val="20"/>
                <w:szCs w:val="20"/>
              </w:rPr>
              <w:t>enta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>Dokumentacija SOUK-a pohranjena je na lokalnoj računarskoj mreži (LRM) Sveučilišta. Postoji jedan službeni papirnati primjerak svakog dokumenta kojeg je potpisom odobrila ovlaštena osoba i čuva se u pismohrani UK-a. U tijeku rada mogu se koristiti papirnate kopije, ali one ne predstavljaju dokument SOUK-a.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4398A">
              <w:rPr>
                <w:b/>
                <w:sz w:val="20"/>
                <w:szCs w:val="20"/>
              </w:rPr>
              <w:t>Način donošenja, izmjene ili povlačenja dokumenta SOUK-a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>Za donošenje, izmjenu ili povlačenje dokumenata definira se identičan postupak.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4398A">
              <w:rPr>
                <w:b/>
                <w:sz w:val="20"/>
                <w:szCs w:val="20"/>
              </w:rPr>
              <w:t>Inicijativa za donošenje/izmjenu/povlačenje dokumenta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 xml:space="preserve">Inicijativu može dati rektor, UK, glavni tajnik, čelnici sastavnica ili članovi GOK-a. Prijedlog se dostavlja u UK-u koji po potrebi konzultira rektora i prosljeđuje prijedlog GOK-u. 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4398A">
              <w:rPr>
                <w:b/>
                <w:sz w:val="20"/>
                <w:szCs w:val="20"/>
              </w:rPr>
              <w:t>Realizacija donošenja/izmjene/povlačenja dokumenta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>Ako GOK prihvati inicijativu, predlaže osobu ili grupu koja će izraditi prijedlog dokumenta. GOK donosi i odluku hoće li prijedlog ponovno razmatrati ili će se neposredno proslijediti na odobrenje rektoru.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>Ovisno o prethodnom zaključku dovršeni prijedlog dokumenta predaje se UK-u koji ga pregledava i šalje na raspravu GOK-u odnosno na odobrenje rektoru.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>U slučaju kada UK zaključi da je sadržaj predloženog dokumenta takav da izaziva neke promjene u radu drugih djelatnika koji nisu sudjelovali u postupku donošenja/izmjene/povlačenja dotičnog dokumenta, on se savjetuje s drugim voditeljima i može tražiti njihovu pismenu suglasnost prije nego dostavi dokument na odobrenje.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 xml:space="preserve">Odobreni dokument UK replicira na LRM na mjestu prethodne verzije dokumenta čija se kopija pohranjuje u pismohranu. 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 xml:space="preserve">Svaki dokument sustava mora se urudžbirati kako bi se osigurao redoslijed dokumentacije. 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4A10" w:rsidRPr="0034398A" w:rsidRDefault="003C4A10" w:rsidP="00BD76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4398A">
              <w:rPr>
                <w:b/>
                <w:sz w:val="20"/>
                <w:szCs w:val="20"/>
              </w:rPr>
              <w:t>Distribucija dokumenata</w:t>
            </w:r>
          </w:p>
          <w:p w:rsidR="003C4A10" w:rsidRPr="0034398A" w:rsidRDefault="003C4A10" w:rsidP="00BD76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98A">
              <w:rPr>
                <w:sz w:val="20"/>
                <w:szCs w:val="20"/>
              </w:rPr>
              <w:t xml:space="preserve">Distribucija dokumenata provodi se putem mrežne stranice SOUK-a. </w:t>
            </w:r>
          </w:p>
          <w:p w:rsidR="003C4A10" w:rsidRPr="0034398A" w:rsidRDefault="003C4A10" w:rsidP="00BD7610">
            <w:pPr>
              <w:jc w:val="both"/>
              <w:rPr>
                <w:rStyle w:val="FontStyle111"/>
              </w:rPr>
            </w:pPr>
          </w:p>
        </w:tc>
      </w:tr>
      <w:tr w:rsidR="003C4A10" w:rsidRPr="0034398A" w:rsidTr="003C4A1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C4A10" w:rsidRPr="0034398A" w:rsidRDefault="003C4A10" w:rsidP="00BD7610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/>
                <w:caps/>
              </w:rPr>
            </w:pPr>
            <w:r w:rsidRPr="0034398A">
              <w:rPr>
                <w:rStyle w:val="FontStyle110"/>
                <w:rFonts w:ascii="Times New Roman" w:eastAsia="MS Mincho" w:hAnsi="Times New Roman"/>
                <w:caps/>
              </w:rPr>
              <w:t>Dinamika provedbe postupka</w:t>
            </w:r>
          </w:p>
        </w:tc>
        <w:tc>
          <w:tcPr>
            <w:tcW w:w="3755" w:type="pct"/>
            <w:vAlign w:val="center"/>
          </w:tcPr>
          <w:p w:rsidR="003C4A10" w:rsidRPr="0034398A" w:rsidRDefault="003C4A10" w:rsidP="00BD7610">
            <w:pPr>
              <w:pStyle w:val="Style38"/>
              <w:widowControl/>
              <w:spacing w:line="254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34398A">
              <w:rPr>
                <w:rFonts w:ascii="Times New Roman" w:hAnsi="Times New Roman"/>
                <w:sz w:val="20"/>
                <w:szCs w:val="20"/>
              </w:rPr>
              <w:t>Kontinuirano</w:t>
            </w:r>
          </w:p>
        </w:tc>
      </w:tr>
      <w:tr w:rsidR="003C4A10" w:rsidRPr="0034398A" w:rsidTr="003C4A1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C4A10" w:rsidRPr="0034398A" w:rsidRDefault="003C4A10" w:rsidP="00BD7610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34398A">
              <w:rPr>
                <w:rFonts w:ascii="Times New Roman" w:hAnsi="Times New Roman"/>
                <w:b/>
                <w:caps/>
                <w:sz w:val="20"/>
                <w:szCs w:val="20"/>
              </w:rPr>
              <w:lastRenderedPageBreak/>
              <w:t>Za postupak odgovoran</w:t>
            </w:r>
          </w:p>
        </w:tc>
        <w:tc>
          <w:tcPr>
            <w:tcW w:w="3755" w:type="pct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1511"/>
              <w:gridCol w:w="1494"/>
              <w:gridCol w:w="1509"/>
            </w:tblGrid>
            <w:tr w:rsidR="003C4A10" w:rsidRPr="0034398A" w:rsidTr="00BD7610">
              <w:tc>
                <w:tcPr>
                  <w:tcW w:w="1670" w:type="pct"/>
                  <w:shd w:val="clear" w:color="auto" w:fill="auto"/>
                  <w:vAlign w:val="center"/>
                </w:tcPr>
                <w:p w:rsidR="003C4A10" w:rsidRPr="0034398A" w:rsidRDefault="003C4A10" w:rsidP="00BD76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398A">
                    <w:rPr>
                      <w:b/>
                      <w:bCs/>
                      <w:sz w:val="20"/>
                      <w:szCs w:val="20"/>
                    </w:rPr>
                    <w:t>Aktivnost</w:t>
                  </w:r>
                </w:p>
              </w:tc>
              <w:tc>
                <w:tcPr>
                  <w:tcW w:w="1115" w:type="pct"/>
                  <w:shd w:val="clear" w:color="auto" w:fill="auto"/>
                  <w:vAlign w:val="center"/>
                </w:tcPr>
                <w:p w:rsidR="003C4A10" w:rsidRPr="0034398A" w:rsidRDefault="003C4A10" w:rsidP="00BD76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398A">
                    <w:rPr>
                      <w:b/>
                      <w:bCs/>
                      <w:sz w:val="20"/>
                      <w:szCs w:val="20"/>
                    </w:rPr>
                    <w:t>Odgovoran</w:t>
                  </w:r>
                </w:p>
              </w:tc>
              <w:tc>
                <w:tcPr>
                  <w:tcW w:w="1102" w:type="pct"/>
                  <w:shd w:val="clear" w:color="auto" w:fill="auto"/>
                  <w:vAlign w:val="center"/>
                </w:tcPr>
                <w:p w:rsidR="003C4A10" w:rsidRPr="0034398A" w:rsidRDefault="003C4A10" w:rsidP="00BD76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398A">
                    <w:rPr>
                      <w:b/>
                      <w:bCs/>
                      <w:sz w:val="20"/>
                      <w:szCs w:val="20"/>
                    </w:rPr>
                    <w:t>Obavlja</w:t>
                  </w:r>
                </w:p>
              </w:tc>
              <w:tc>
                <w:tcPr>
                  <w:tcW w:w="1113" w:type="pct"/>
                  <w:shd w:val="clear" w:color="auto" w:fill="auto"/>
                  <w:vAlign w:val="center"/>
                </w:tcPr>
                <w:p w:rsidR="003C4A10" w:rsidRPr="0034398A" w:rsidRDefault="003C4A10" w:rsidP="00BD76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398A">
                    <w:rPr>
                      <w:b/>
                      <w:bCs/>
                      <w:sz w:val="20"/>
                      <w:szCs w:val="20"/>
                    </w:rPr>
                    <w:t>Sudjeluje</w:t>
                  </w:r>
                </w:p>
              </w:tc>
            </w:tr>
            <w:tr w:rsidR="003C4A10" w:rsidRPr="0034398A" w:rsidTr="00BD7610">
              <w:tc>
                <w:tcPr>
                  <w:tcW w:w="1670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Izmjena priručnika i politike kvalitete</w:t>
                  </w:r>
                </w:p>
              </w:tc>
              <w:tc>
                <w:tcPr>
                  <w:tcW w:w="1115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Rektor (Senat)</w:t>
                  </w:r>
                  <w:r w:rsidRPr="0034398A">
                    <w:rPr>
                      <w:rStyle w:val="FootnoteReference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1102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UK</w:t>
                  </w:r>
                </w:p>
              </w:tc>
              <w:tc>
                <w:tcPr>
                  <w:tcW w:w="1113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GOK</w:t>
                  </w:r>
                </w:p>
              </w:tc>
            </w:tr>
            <w:tr w:rsidR="003C4A10" w:rsidRPr="0034398A" w:rsidTr="00BD7610">
              <w:tc>
                <w:tcPr>
                  <w:tcW w:w="1670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Izmjena postupaka</w:t>
                  </w:r>
                </w:p>
              </w:tc>
              <w:tc>
                <w:tcPr>
                  <w:tcW w:w="1115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Rektor</w:t>
                  </w:r>
                </w:p>
              </w:tc>
              <w:tc>
                <w:tcPr>
                  <w:tcW w:w="1102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UK</w:t>
                  </w:r>
                </w:p>
              </w:tc>
              <w:tc>
                <w:tcPr>
                  <w:tcW w:w="1113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GOK,</w:t>
                  </w:r>
                </w:p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čelnici</w:t>
                  </w:r>
                </w:p>
              </w:tc>
            </w:tr>
            <w:tr w:rsidR="003C4A10" w:rsidRPr="0034398A" w:rsidTr="00BD7610">
              <w:tc>
                <w:tcPr>
                  <w:tcW w:w="1670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Izmjena obrazaca</w:t>
                  </w:r>
                </w:p>
              </w:tc>
              <w:tc>
                <w:tcPr>
                  <w:tcW w:w="1115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Rektor</w:t>
                  </w:r>
                </w:p>
              </w:tc>
              <w:tc>
                <w:tcPr>
                  <w:tcW w:w="1102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UK</w:t>
                  </w:r>
                </w:p>
              </w:tc>
              <w:tc>
                <w:tcPr>
                  <w:tcW w:w="1113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GOK,</w:t>
                  </w:r>
                </w:p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čelnici</w:t>
                  </w:r>
                </w:p>
              </w:tc>
            </w:tr>
            <w:tr w:rsidR="003C4A10" w:rsidRPr="0034398A" w:rsidTr="00BD7610">
              <w:tc>
                <w:tcPr>
                  <w:tcW w:w="1670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Dokumenti vanjskog podrijetla</w:t>
                  </w:r>
                  <w:r w:rsidRPr="0034398A">
                    <w:rPr>
                      <w:rStyle w:val="FootnoteReference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1115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UK</w:t>
                  </w:r>
                </w:p>
              </w:tc>
              <w:tc>
                <w:tcPr>
                  <w:tcW w:w="1102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UK</w:t>
                  </w:r>
                </w:p>
              </w:tc>
              <w:tc>
                <w:tcPr>
                  <w:tcW w:w="1113" w:type="pct"/>
                  <w:vAlign w:val="center"/>
                </w:tcPr>
                <w:p w:rsidR="003C4A10" w:rsidRPr="0034398A" w:rsidRDefault="003C4A10" w:rsidP="00BD7610">
                  <w:pPr>
                    <w:rPr>
                      <w:sz w:val="20"/>
                      <w:szCs w:val="20"/>
                    </w:rPr>
                  </w:pPr>
                  <w:r w:rsidRPr="0034398A">
                    <w:rPr>
                      <w:sz w:val="20"/>
                      <w:szCs w:val="20"/>
                    </w:rPr>
                    <w:t>UK</w:t>
                  </w:r>
                </w:p>
              </w:tc>
            </w:tr>
          </w:tbl>
          <w:p w:rsidR="003C4A10" w:rsidRPr="0034398A" w:rsidRDefault="003C4A10" w:rsidP="00BD7610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/>
              </w:rPr>
            </w:pPr>
          </w:p>
        </w:tc>
      </w:tr>
      <w:tr w:rsidR="003C4A10" w:rsidRPr="0034398A" w:rsidTr="003C4A1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C4A10" w:rsidRPr="0034398A" w:rsidRDefault="003C4A10" w:rsidP="00BD7610">
            <w:pPr>
              <w:pStyle w:val="Style17"/>
              <w:widowControl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4398A">
              <w:rPr>
                <w:rFonts w:ascii="Times New Roman" w:hAnsi="Times New Roman"/>
                <w:b/>
                <w:caps/>
                <w:sz w:val="20"/>
                <w:szCs w:val="20"/>
              </w:rPr>
              <w:t>Javnost rezultata postupka</w:t>
            </w:r>
          </w:p>
        </w:tc>
        <w:tc>
          <w:tcPr>
            <w:tcW w:w="3755" w:type="pct"/>
            <w:vAlign w:val="center"/>
          </w:tcPr>
          <w:p w:rsidR="003C4A10" w:rsidRPr="0034398A" w:rsidRDefault="003C4A10" w:rsidP="00BD7610">
            <w:pPr>
              <w:pStyle w:val="Style38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34398A">
              <w:rPr>
                <w:rStyle w:val="FontStyle111"/>
                <w:rFonts w:ascii="Times New Roman" w:hAnsi="Times New Roman"/>
              </w:rPr>
              <w:t>Rezultati su dostupni svim unutarnjim i vanjskim dionicima Sveučilišta</w:t>
            </w:r>
          </w:p>
        </w:tc>
      </w:tr>
    </w:tbl>
    <w:p w:rsidR="00F8696E" w:rsidRDefault="00F8696E"/>
    <w:sectPr w:rsidR="00F8696E" w:rsidSect="003C4A1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73" w:rsidRDefault="00006873" w:rsidP="003C4A10">
      <w:r>
        <w:separator/>
      </w:r>
    </w:p>
  </w:endnote>
  <w:endnote w:type="continuationSeparator" w:id="0">
    <w:p w:rsidR="00006873" w:rsidRDefault="00006873" w:rsidP="003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73" w:rsidRDefault="00006873" w:rsidP="003C4A10">
      <w:r>
        <w:separator/>
      </w:r>
    </w:p>
  </w:footnote>
  <w:footnote w:type="continuationSeparator" w:id="0">
    <w:p w:rsidR="00006873" w:rsidRDefault="00006873" w:rsidP="003C4A10">
      <w:r>
        <w:continuationSeparator/>
      </w:r>
    </w:p>
  </w:footnote>
  <w:footnote w:id="1">
    <w:p w:rsidR="003C4A10" w:rsidRPr="00251B00" w:rsidRDefault="003C4A10" w:rsidP="003C4A1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251B00">
        <w:rPr>
          <w:rStyle w:val="FootnoteReference"/>
          <w:rFonts w:ascii="Arial" w:hAnsi="Arial" w:cs="Arial"/>
          <w:sz w:val="18"/>
          <w:szCs w:val="18"/>
        </w:rPr>
        <w:footnoteRef/>
      </w:r>
      <w:r w:rsidRPr="00251B00">
        <w:rPr>
          <w:rFonts w:ascii="Arial" w:hAnsi="Arial" w:cs="Arial"/>
          <w:sz w:val="18"/>
          <w:szCs w:val="18"/>
          <w:lang w:val="pl-PL"/>
        </w:rPr>
        <w:t xml:space="preserve"> </w:t>
      </w:r>
      <w:r w:rsidRPr="00251B00">
        <w:rPr>
          <w:rFonts w:ascii="Arial" w:hAnsi="Arial" w:cs="Arial"/>
          <w:sz w:val="18"/>
          <w:szCs w:val="18"/>
        </w:rPr>
        <w:t>Rektor samostalno odlučuje kada je priroda izmjene takva da traži suglasnost Senata</w:t>
      </w:r>
    </w:p>
  </w:footnote>
  <w:footnote w:id="2">
    <w:p w:rsidR="003C4A10" w:rsidRPr="00251B00" w:rsidRDefault="003C4A10" w:rsidP="003C4A1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251B00">
        <w:rPr>
          <w:rStyle w:val="FootnoteReference"/>
          <w:rFonts w:ascii="Arial" w:hAnsi="Arial" w:cs="Arial"/>
          <w:sz w:val="18"/>
          <w:szCs w:val="18"/>
        </w:rPr>
        <w:footnoteRef/>
      </w:r>
      <w:r w:rsidRPr="00251B00">
        <w:rPr>
          <w:rFonts w:ascii="Arial" w:hAnsi="Arial" w:cs="Arial"/>
          <w:sz w:val="18"/>
          <w:szCs w:val="18"/>
          <w:lang w:val="pl-PL"/>
        </w:rPr>
        <w:t xml:space="preserve"> </w:t>
      </w:r>
      <w:r w:rsidRPr="00251B00">
        <w:rPr>
          <w:rFonts w:ascii="Arial" w:hAnsi="Arial" w:cs="Arial"/>
          <w:sz w:val="18"/>
          <w:szCs w:val="18"/>
        </w:rPr>
        <w:t>Dokumenti vanjskog podrijetla su standardi, zakonski i drugi propisi koji se koriste u procesima Sveučilišta.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10"/>
    <w:rsid w:val="00006873"/>
    <w:rsid w:val="003C4A10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6E2E"/>
  <w15:chartTrackingRefBased/>
  <w15:docId w15:val="{B1436508-A368-4DBC-9306-0D2CBB0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A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3C4A1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4A10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3C4A10"/>
    <w:rPr>
      <w:color w:val="0000FF"/>
      <w:u w:val="single"/>
    </w:rPr>
  </w:style>
  <w:style w:type="paragraph" w:styleId="BodyText">
    <w:name w:val="Body Text"/>
    <w:basedOn w:val="Normal"/>
    <w:link w:val="BodyTextChar"/>
    <w:rsid w:val="003C4A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4A10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3C4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3C4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4A10"/>
    <w:rPr>
      <w:rFonts w:ascii="Times New Roman" w:eastAsia="MS Mincho" w:hAnsi="Times New Roman" w:cs="Times New Roman"/>
      <w:sz w:val="20"/>
      <w:szCs w:val="20"/>
      <w:lang w:val="hr-HR" w:eastAsia="ja-JP"/>
    </w:rPr>
  </w:style>
  <w:style w:type="character" w:styleId="FootnoteReference">
    <w:name w:val="footnote reference"/>
    <w:semiHidden/>
    <w:rsid w:val="003C4A10"/>
    <w:rPr>
      <w:vertAlign w:val="superscript"/>
    </w:rPr>
  </w:style>
  <w:style w:type="paragraph" w:customStyle="1" w:styleId="Style3">
    <w:name w:val="Style3"/>
    <w:basedOn w:val="Normal"/>
    <w:rsid w:val="003C4A1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3C4A10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3C4A10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3C4A10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3C4A10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3C4A10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3C4A10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3C4A10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3C4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PRIRU&#268;NIK%20KVALITETE%20UNIPU/Priru&#269;nik%20kvalitete%20UNIPU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2023-02-18T12:04:00Z</dcterms:created>
  <dcterms:modified xsi:type="dcterms:W3CDTF">2023-02-18T12:12:00Z</dcterms:modified>
</cp:coreProperties>
</file>