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D27AE6" w:rsidRPr="0072270B" w:rsidTr="00D27AE6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AE6" w:rsidRPr="0072270B" w:rsidRDefault="00D27AE6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D27AE6">
              <w:rPr>
                <w:b/>
                <w:bCs/>
                <w:caps/>
                <w:color w:val="FFFFFF" w:themeColor="background1"/>
                <w:szCs w:val="22"/>
              </w:rPr>
              <w:t>POSTUPAK ANALIZE Pokazatelja dostatnosti i kvalitete obrazovnih resursa</w:t>
            </w:r>
          </w:p>
        </w:tc>
      </w:tr>
      <w:tr w:rsidR="00D27AE6" w:rsidRPr="00D27AE6" w:rsidTr="00D27AE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27AE6" w:rsidRPr="00D27AE6" w:rsidRDefault="00D27AE6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7" w:history="1">
              <w:r w:rsidRPr="00D27AE6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D27AE6" w:rsidRPr="00D27AE6" w:rsidTr="00D27AE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7AE6" w:rsidRPr="00D27AE6" w:rsidRDefault="00D27AE6" w:rsidP="00B071DB">
            <w:pPr>
              <w:pStyle w:val="BodyText"/>
              <w:rPr>
                <w:caps/>
                <w:sz w:val="22"/>
                <w:szCs w:val="22"/>
              </w:rPr>
            </w:pPr>
            <w:r w:rsidRPr="00D27AE6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D27AE6" w:rsidRPr="00D27AE6" w:rsidRDefault="00D27AE6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analize je utvrditi kvantitativno i kvalitativno stanje obrazovnih resursa kako bi se na temelju toga planirale aktivnosti njihova upravljanja i unaprjeđivanja.</w:t>
            </w:r>
          </w:p>
        </w:tc>
      </w:tr>
      <w:tr w:rsidR="00D27AE6" w:rsidRPr="00D27AE6" w:rsidTr="00D27AE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D27AE6" w:rsidRPr="00D27AE6" w:rsidRDefault="00D27AE6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D27AE6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D27AE6" w:rsidRPr="00D27AE6" w:rsidRDefault="00D27AE6" w:rsidP="00B071DB">
            <w:pPr>
              <w:tabs>
                <w:tab w:val="left" w:pos="0"/>
              </w:tabs>
              <w:spacing w:line="360" w:lineRule="auto"/>
              <w:ind w:right="7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Analizu provodi Ured za </w:t>
            </w: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strateško planiranje i osiguravanje kvalitete</w:t>
            </w: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. Podaci se prikupljaju od nastavnog i nenastavnog osoblja, službi i ureda i Sveučilišne knjižnice. </w:t>
            </w:r>
          </w:p>
          <w:p w:rsidR="00D27AE6" w:rsidRPr="00D27AE6" w:rsidRDefault="00D27AE6" w:rsidP="00B071DB">
            <w:pPr>
              <w:tabs>
                <w:tab w:val="left" w:pos="0"/>
              </w:tabs>
              <w:ind w:right="7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Prikupljaju se sljedeći podaci: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line="360" w:lineRule="auto"/>
              <w:ind w:left="714" w:hanging="357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zgradama i kapitalnoj opremi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 xml:space="preserve">podaci o prostoru predviđenom za nastavu i omjeru istog i broja studenata 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nastavničkim kabinetima i omjeru istog i broja nastavnog osoblja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računalnim učionicama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color w:val="000000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 xml:space="preserve">podaci o </w:t>
            </w:r>
            <w:r w:rsidRPr="00D27AE6">
              <w:rPr>
                <w:sz w:val="22"/>
                <w:szCs w:val="22"/>
              </w:rPr>
              <w:t>laboratorijima/praktikumima</w:t>
            </w:r>
            <w:r w:rsidRPr="00D27AE6">
              <w:rPr>
                <w:color w:val="000000"/>
                <w:sz w:val="22"/>
                <w:szCs w:val="22"/>
              </w:rPr>
              <w:t xml:space="preserve"> koji se koriste u nastavi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color w:val="000000"/>
                <w:sz w:val="22"/>
                <w:szCs w:val="22"/>
              </w:rPr>
              <w:t>podaci o prostoru koji se koristi samo za znanstveno-istraživački, umjetnički i stručni rad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prostorima namijenjenim radu službi/ureda i omjeru istog i broja nenastavnog osoblja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Sveučilišnoj knjižnici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elementima studentskog standarda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broju i strukturi nenastavnog osoblja i omjera istog i broja nastavnog osoblja i studenata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podaci o prihodima i rashodima poslovanja</w:t>
            </w:r>
          </w:p>
          <w:p w:rsidR="00D27AE6" w:rsidRPr="00D27AE6" w:rsidRDefault="00D27AE6" w:rsidP="00B071D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1"/>
              </w:tabs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pacing w:val="-6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procjena zadovoljstva kvalitetom usluga Sveučilišne knjižnice  i stručnih službi/ureda (dio PO5.11, PO5.12 i PO8)</w:t>
            </w:r>
          </w:p>
          <w:p w:rsidR="00D27AE6" w:rsidRPr="00D27AE6" w:rsidRDefault="00D27AE6" w:rsidP="00B071DB">
            <w:pPr>
              <w:shd w:val="clear" w:color="auto" w:fill="FFFFFF"/>
              <w:tabs>
                <w:tab w:val="left" w:pos="1430"/>
              </w:tabs>
              <w:spacing w:line="360" w:lineRule="auto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 xml:space="preserve">Podatci se analitički prikazuju sukladno tablicama koji se koriste za </w:t>
            </w:r>
            <w:proofErr w:type="spellStart"/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samoanalizu</w:t>
            </w:r>
            <w:proofErr w:type="spellEnd"/>
            <w:r w:rsidRPr="00D27AE6">
              <w:rPr>
                <w:rStyle w:val="FootnoteReference"/>
                <w:bCs/>
                <w:color w:val="000000"/>
                <w:spacing w:val="-6"/>
                <w:sz w:val="22"/>
                <w:szCs w:val="22"/>
              </w:rPr>
              <w:footnoteReference w:id="1"/>
            </w:r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 xml:space="preserve"> u </w:t>
            </w:r>
            <w:proofErr w:type="spellStart"/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reakreditaciji</w:t>
            </w:r>
            <w:proofErr w:type="spellEnd"/>
            <w:r w:rsidRPr="00D27AE6">
              <w:rPr>
                <w:bCs/>
                <w:color w:val="000000"/>
                <w:spacing w:val="-6"/>
                <w:sz w:val="22"/>
                <w:szCs w:val="22"/>
              </w:rPr>
              <w:t>.</w:t>
            </w:r>
          </w:p>
        </w:tc>
      </w:tr>
      <w:tr w:rsidR="00D27AE6" w:rsidRPr="00D27AE6" w:rsidTr="00D27AE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D27AE6" w:rsidRPr="00D27AE6" w:rsidRDefault="00D27AE6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D27AE6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D27AE6" w:rsidRPr="00D27AE6" w:rsidRDefault="00D27AE6" w:rsidP="00B071DB">
            <w:pPr>
              <w:pStyle w:val="ListParagraph"/>
              <w:spacing w:after="0" w:line="250" w:lineRule="exact"/>
              <w:ind w:left="0"/>
              <w:rPr>
                <w:rFonts w:ascii="Times New Roman" w:hAnsi="Times New Roman"/>
              </w:rPr>
            </w:pPr>
            <w:r w:rsidRPr="00D27AE6">
              <w:rPr>
                <w:rFonts w:ascii="Times New Roman" w:hAnsi="Times New Roman"/>
              </w:rPr>
              <w:t>Postupak se provodi najmanje jednom u dvije godine.</w:t>
            </w:r>
          </w:p>
        </w:tc>
      </w:tr>
      <w:tr w:rsidR="00D27AE6" w:rsidRPr="00D27AE6" w:rsidTr="00D27AE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D27AE6" w:rsidRPr="00D27AE6" w:rsidRDefault="00D27AE6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D27AE6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D27AE6" w:rsidRPr="00D27AE6" w:rsidRDefault="00D27AE6" w:rsidP="00B071DB">
            <w:pPr>
              <w:pStyle w:val="Style90"/>
              <w:widowControl/>
              <w:spacing w:line="240" w:lineRule="auto"/>
              <w:ind w:right="6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Rektor, nadležni prorektor, Glavni tajnik, Ured </w:t>
            </w:r>
            <w:bookmarkStart w:id="0" w:name="_GoBack"/>
            <w:bookmarkEnd w:id="0"/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za strateško planiranje i osiguravanje kvalitete</w:t>
            </w:r>
          </w:p>
        </w:tc>
      </w:tr>
      <w:tr w:rsidR="00D27AE6" w:rsidRPr="00D27AE6" w:rsidTr="00D27AE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D27AE6" w:rsidRPr="00D27AE6" w:rsidRDefault="00D27AE6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D27AE6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D27AE6" w:rsidRPr="00D27AE6" w:rsidRDefault="00D27AE6" w:rsidP="00B071DB">
            <w:pPr>
              <w:tabs>
                <w:tab w:val="left" w:pos="826"/>
              </w:tabs>
              <w:rPr>
                <w:sz w:val="22"/>
                <w:szCs w:val="22"/>
              </w:rPr>
            </w:pPr>
            <w:r w:rsidRPr="00D27AE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</w:t>
            </w:r>
            <w:r w:rsidRPr="00D27AE6">
              <w:rPr>
                <w:sz w:val="22"/>
                <w:szCs w:val="22"/>
              </w:rPr>
              <w:t>cima Sveučilišta.</w:t>
            </w:r>
          </w:p>
        </w:tc>
      </w:tr>
    </w:tbl>
    <w:p w:rsidR="00F8696E" w:rsidRPr="00D27AE6" w:rsidRDefault="00F8696E">
      <w:pPr>
        <w:rPr>
          <w:sz w:val="22"/>
          <w:szCs w:val="22"/>
        </w:rPr>
      </w:pPr>
    </w:p>
    <w:sectPr w:rsidR="00F8696E" w:rsidRPr="00D27AE6" w:rsidSect="00D27AE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A0" w:rsidRDefault="00CF59A0" w:rsidP="00D27AE6">
      <w:r>
        <w:separator/>
      </w:r>
    </w:p>
  </w:endnote>
  <w:endnote w:type="continuationSeparator" w:id="0">
    <w:p w:rsidR="00CF59A0" w:rsidRDefault="00CF59A0" w:rsidP="00D2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A0" w:rsidRDefault="00CF59A0" w:rsidP="00D27AE6">
      <w:r>
        <w:separator/>
      </w:r>
    </w:p>
  </w:footnote>
  <w:footnote w:type="continuationSeparator" w:id="0">
    <w:p w:rsidR="00CF59A0" w:rsidRDefault="00CF59A0" w:rsidP="00D27AE6">
      <w:r>
        <w:continuationSeparator/>
      </w:r>
    </w:p>
  </w:footnote>
  <w:footnote w:id="1">
    <w:p w:rsidR="00D27AE6" w:rsidRPr="00CA0D2B" w:rsidRDefault="00D27AE6" w:rsidP="00D27AE6">
      <w:pPr>
        <w:pStyle w:val="FootnoteText"/>
        <w:rPr>
          <w:rFonts w:ascii="Arial" w:hAnsi="Arial" w:cs="Arial"/>
        </w:rPr>
      </w:pPr>
      <w:r w:rsidRPr="00CA0D2B">
        <w:rPr>
          <w:rStyle w:val="FootnoteReference"/>
          <w:rFonts w:ascii="Arial" w:hAnsi="Arial" w:cs="Arial"/>
        </w:rPr>
        <w:footnoteRef/>
      </w:r>
      <w:r w:rsidRPr="00CA0D2B">
        <w:rPr>
          <w:rFonts w:ascii="Arial" w:hAnsi="Arial" w:cs="Arial"/>
        </w:rPr>
        <w:t xml:space="preserve"> obrazac dostupan na mrežnim stranicama AZVO-a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E39FE"/>
    <w:multiLevelType w:val="hybridMultilevel"/>
    <w:tmpl w:val="F88497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E6"/>
    <w:rsid w:val="00CF59A0"/>
    <w:rsid w:val="00D27AE6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BC8"/>
  <w15:chartTrackingRefBased/>
  <w15:docId w15:val="{EC5F669F-EE5E-4604-9512-D93FD3A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A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D27AE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7AE6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D27AE6"/>
    <w:rPr>
      <w:color w:val="0000FF"/>
      <w:u w:val="single"/>
    </w:rPr>
  </w:style>
  <w:style w:type="paragraph" w:styleId="BodyText">
    <w:name w:val="Body Text"/>
    <w:basedOn w:val="Normal"/>
    <w:link w:val="BodyTextChar"/>
    <w:rsid w:val="00D27A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7AE6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D27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D27A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7AE6"/>
    <w:rPr>
      <w:rFonts w:ascii="Times New Roman" w:eastAsia="MS Mincho" w:hAnsi="Times New Roman" w:cs="Times New Roman"/>
      <w:sz w:val="20"/>
      <w:szCs w:val="20"/>
      <w:lang w:val="hr-HR" w:eastAsia="ja-JP"/>
    </w:rPr>
  </w:style>
  <w:style w:type="character" w:styleId="FootnoteReference">
    <w:name w:val="footnote reference"/>
    <w:semiHidden/>
    <w:rsid w:val="00D27AE6"/>
    <w:rPr>
      <w:vertAlign w:val="superscript"/>
    </w:rPr>
  </w:style>
  <w:style w:type="paragraph" w:customStyle="1" w:styleId="Style3">
    <w:name w:val="Style3"/>
    <w:basedOn w:val="Normal"/>
    <w:rsid w:val="00D27AE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D27AE6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D27AE6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D27AE6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D27AE6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D27AE6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D27AE6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D2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gaber\Desktop\PRIRU&#268;NIK%20KVALITETE%20UNIPU\Priru&#269;nik%20kvalitete%20UNIP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2023-02-18T16:41:00Z</dcterms:created>
  <dcterms:modified xsi:type="dcterms:W3CDTF">2023-02-18T16:44:00Z</dcterms:modified>
</cp:coreProperties>
</file>